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  <w:highlight w:val="none"/>
        </w:rPr>
      </w:pPr>
      <w:bookmarkStart w:id="0" w:name="heading_7"/>
      <w:bookmarkStart w:id="1" w:name="_GoBack"/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  <w:highlight w:val="none"/>
        </w:rPr>
        <w:t>深圳规资海洋重点应用场景清单</w:t>
      </w:r>
      <w:bookmarkEnd w:id="0"/>
    </w:p>
    <w:bookmarkEnd w:id="1"/>
    <w:tbl>
      <w:tblPr>
        <w:tblStyle w:val="9"/>
        <w:tblW w:w="4996" w:type="pct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99"/>
        <w:gridCol w:w="852"/>
        <w:gridCol w:w="2367"/>
        <w:gridCol w:w="10069"/>
      </w:tblGrid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" w:hRule="atLeast"/>
          <w:tblHeader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2"/>
                <w:highlight w:val="none"/>
              </w:rPr>
              <w:t>序号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2"/>
                <w:highlight w:val="none"/>
              </w:rPr>
              <w:t>领域</w:t>
            </w: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2"/>
                <w:highlight w:val="none"/>
              </w:rPr>
              <w:t>重点应用场景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2"/>
                <w:highlight w:val="none"/>
              </w:rPr>
              <w:t>场景建设内容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rPr>
          <w:trHeight w:val="57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  <w:t>1</w:t>
            </w:r>
          </w:p>
        </w:tc>
        <w:tc>
          <w:tcPr>
            <w:tcW w:w="3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海洋新能源</w:t>
            </w: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华文仿宋" w:hAnsi="华文仿宋" w:eastAsia="华文仿宋" w:cs="华文仿宋"/>
                <w:color w:val="auto"/>
                <w:sz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2"/>
                <w:highlight w:val="none"/>
              </w:rPr>
              <w:t>“海上风电+海洋油气+储能”场景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widowControl/>
              <w:spacing w:before="0" w:after="0" w:line="240" w:lineRule="auto"/>
              <w:ind w:firstLine="0" w:firstLineChars="0"/>
              <w:rPr>
                <w:rFonts w:hint="eastAsia" w:ascii="华文仿宋" w:hAnsi="华文仿宋" w:eastAsia="华文仿宋" w:cs="华文仿宋"/>
                <w:color w:val="auto"/>
                <w:sz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2"/>
                <w:highlight w:val="none"/>
              </w:rPr>
              <w:t>依托海上风电与油气平台供电融合、海上电力组网、海上储能等关键技术，加快推动油田清洁能源电力供给改造示范项目建设，为区域海上油气平台提供稳定绿色电力，促进“油气平台+绿电供能”一体化发展，实现海上油气平台绿色电力替代、电力高效组网及海洋资源综合高效利用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  <w:t>2</w:t>
            </w:r>
          </w:p>
        </w:tc>
        <w:tc>
          <w:tcPr>
            <w:tcW w:w="3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华文仿宋" w:hAnsi="华文仿宋" w:eastAsia="华文仿宋" w:cs="华文仿宋"/>
                <w:color w:val="auto"/>
                <w:sz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2"/>
                <w:highlight w:val="none"/>
              </w:rPr>
              <w:t>海上风电运维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rPr>
                <w:rFonts w:hint="eastAsia" w:ascii="华文仿宋" w:hAnsi="华文仿宋" w:eastAsia="华文仿宋" w:cs="华文仿宋"/>
                <w:color w:val="auto"/>
                <w:sz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2"/>
                <w:highlight w:val="none"/>
              </w:rPr>
              <w:t>依托无人机、水下机器人、无人艇及智能诊断平台等</w:t>
            </w:r>
            <w:r>
              <w:rPr>
                <w:rFonts w:hint="eastAsia" w:ascii="华文仿宋" w:hAnsi="华文仿宋" w:eastAsia="华文仿宋" w:cs="华文仿宋"/>
                <w:color w:val="auto"/>
                <w:sz w:val="22"/>
                <w:highlight w:val="none"/>
                <w:lang w:val="en-US" w:eastAsia="zh-CN"/>
              </w:rPr>
              <w:t>装备</w:t>
            </w:r>
            <w:r>
              <w:rPr>
                <w:rFonts w:hint="eastAsia" w:ascii="华文仿宋" w:hAnsi="华文仿宋" w:eastAsia="华文仿宋" w:cs="华文仿宋"/>
                <w:color w:val="auto"/>
                <w:sz w:val="22"/>
                <w:highlight w:val="none"/>
              </w:rPr>
              <w:t>技术，围绕风机叶片、海上升压站、海底电缆等设施，开展空中巡检、应急运输、水下结构与海缆监测、海面与升压站无人值守、智能诊断、</w:t>
            </w:r>
            <w:r>
              <w:rPr>
                <w:rFonts w:hint="eastAsia" w:ascii="华文仿宋" w:hAnsi="华文仿宋" w:eastAsia="华文仿宋" w:cs="华文仿宋"/>
                <w:color w:val="auto"/>
                <w:sz w:val="22"/>
                <w:highlight w:val="none"/>
                <w:lang w:val="en-US" w:eastAsia="zh-CN"/>
              </w:rPr>
              <w:t>智能</w:t>
            </w:r>
            <w:r>
              <w:rPr>
                <w:rFonts w:hint="eastAsia" w:ascii="华文仿宋" w:hAnsi="华文仿宋" w:eastAsia="华文仿宋" w:cs="华文仿宋"/>
                <w:color w:val="auto"/>
                <w:sz w:val="22"/>
                <w:highlight w:val="none"/>
              </w:rPr>
              <w:t>决策支持等全天候立体化巡检与应急作业，构建“空天地海”一体化智能运维体系，推动海上风电运维向无人化、数字化、智能化转型。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rPr>
          <w:trHeight w:val="90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highlight w:val="none"/>
                <w:lang w:val="en-US" w:eastAsia="zh-CN"/>
              </w:rPr>
              <w:t>3</w:t>
            </w:r>
          </w:p>
        </w:tc>
        <w:tc>
          <w:tcPr>
            <w:tcW w:w="3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华文仿宋" w:hAnsi="华文仿宋" w:eastAsia="华文仿宋" w:cs="华文仿宋"/>
                <w:color w:val="auto"/>
                <w:sz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“海上风电+海底算力”算电融合场景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rPr>
                <w:rFonts w:hint="eastAsia" w:ascii="华文仿宋" w:hAnsi="华文仿宋" w:eastAsia="华文仿宋" w:cs="华文仿宋"/>
                <w:color w:val="auto"/>
                <w:sz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依托算力网等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“六张网”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规划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建设，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运用</w:t>
            </w:r>
            <w:r>
              <w:rPr>
                <w:rFonts w:hint="eastAsia" w:ascii="华文仿宋" w:hAnsi="华文仿宋" w:eastAsia="华文仿宋" w:cs="华文仿宋"/>
                <w:color w:val="auto"/>
                <w:sz w:val="22"/>
                <w:szCs w:val="22"/>
                <w:highlight w:val="none"/>
              </w:rPr>
              <w:t>海上风电、海底电缆、海底数据中心等装备与技术，融合绿色电力直供、液冷散热、海底通信、边缘计算等技术，探索与珠海、</w:t>
            </w:r>
            <w:r>
              <w:rPr>
                <w:rFonts w:hint="eastAsia" w:ascii="华文仿宋" w:hAnsi="华文仿宋" w:eastAsia="华文仿宋" w:cs="华文仿宋"/>
                <w:color w:val="auto"/>
                <w:sz w:val="22"/>
                <w:highlight w:val="none"/>
              </w:rPr>
              <w:t>汕尾、</w:t>
            </w:r>
            <w:r>
              <w:rPr>
                <w:rFonts w:hint="eastAsia" w:ascii="华文仿宋" w:hAnsi="华文仿宋" w:eastAsia="华文仿宋" w:cs="华文仿宋"/>
                <w:color w:val="auto"/>
                <w:sz w:val="22"/>
                <w:szCs w:val="22"/>
                <w:highlight w:val="none"/>
              </w:rPr>
              <w:t>汕头</w:t>
            </w:r>
            <w:r>
              <w:rPr>
                <w:rFonts w:hint="eastAsia" w:ascii="华文仿宋" w:hAnsi="华文仿宋" w:eastAsia="华文仿宋" w:cs="华文仿宋"/>
                <w:color w:val="auto"/>
                <w:sz w:val="22"/>
                <w:szCs w:val="22"/>
                <w:highlight w:val="none"/>
                <w:lang w:val="en-US" w:eastAsia="zh-CN"/>
              </w:rPr>
              <w:t>等城市</w:t>
            </w:r>
            <w:r>
              <w:rPr>
                <w:rFonts w:hint="eastAsia" w:ascii="华文仿宋" w:hAnsi="华文仿宋" w:eastAsia="华文仿宋" w:cs="华文仿宋"/>
                <w:color w:val="auto"/>
                <w:sz w:val="22"/>
                <w:szCs w:val="22"/>
                <w:highlight w:val="none"/>
              </w:rPr>
              <w:t>海上风电场开展“海上风电+海底算力”算电融合场景合作，布局建设“海风直连”海底数据中心，为人工智能产业提供稳定、低碳、高效的算力供给与用能服务，打造海洋能源与数字经济深度融合示范</w:t>
            </w:r>
            <w:r>
              <w:rPr>
                <w:rFonts w:hint="eastAsia" w:ascii="华文仿宋" w:hAnsi="华文仿宋" w:eastAsia="华文仿宋" w:cs="华文仿宋"/>
                <w:color w:val="auto"/>
                <w:sz w:val="22"/>
                <w:highlight w:val="none"/>
              </w:rPr>
              <w:t>场景</w:t>
            </w:r>
            <w:r>
              <w:rPr>
                <w:rFonts w:hint="eastAsia" w:ascii="华文仿宋" w:hAnsi="华文仿宋" w:eastAsia="华文仿宋" w:cs="华文仿宋"/>
                <w:color w:val="auto"/>
                <w:sz w:val="22"/>
                <w:szCs w:val="22"/>
                <w:highlight w:val="none"/>
              </w:rPr>
              <w:t>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highlight w:val="none"/>
                <w:lang w:val="en-US" w:eastAsia="zh-CN"/>
              </w:rPr>
              <w:t>4</w:t>
            </w:r>
          </w:p>
        </w:tc>
        <w:tc>
          <w:tcPr>
            <w:tcW w:w="3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“海洋能+”场景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以波浪能、潮流能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、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潮差能等海洋能开发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利用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技术为核心，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探索开展海洋多领域融合试点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，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重点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打造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“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海洋能+海上油气开发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”“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海洋能+深远海养殖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”“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海洋能+海洋观测监测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”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“海洋能+海岛供电”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等示范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场景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rPr>
          <w:trHeight w:val="57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  <w:t>5</w:t>
            </w:r>
          </w:p>
        </w:tc>
        <w:tc>
          <w:tcPr>
            <w:tcW w:w="3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高端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海洋装备</w:t>
            </w: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“水下机器人+”场景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围绕海洋油气数字化转型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、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海上风电无人化运维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等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需求，推动水下机器人在水下安装、设施巡检、故障排查、辅助维修、环境监测等场景规模化应用，打造一批成熟可复制推广的示范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场景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。积极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推动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水下助推器、高清水下摄影机器人等在潜水运动、水下观光、水下拍摄等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场景中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应用，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支持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水下机器人技术服务深海采矿、深海探测等新兴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场景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3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highlight w:val="none"/>
                <w:lang w:val="en-US" w:eastAsia="zh-CN"/>
              </w:rPr>
              <w:t>6</w:t>
            </w:r>
          </w:p>
        </w:tc>
        <w:tc>
          <w:tcPr>
            <w:tcW w:w="3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</w:p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</w:p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</w:p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深海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开发</w:t>
            </w: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深水油气开采场景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依托深水半潜式钻井平台、深水生产平台、水下生产系统、深水铺管船等高端海洋工程装备，融合智能钻井、水下机器人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精准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作业、油气泄漏智能监测、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海洋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数字孪生等技术，在南海开展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深水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油气勘探开发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场景建设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，实现深水油气开采智能化、绿色化、安全化作业。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rPr>
          <w:trHeight w:val="57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highlight w:val="none"/>
                <w:lang w:val="en-US" w:eastAsia="zh-CN"/>
              </w:rPr>
              <w:t>7</w:t>
            </w:r>
          </w:p>
        </w:tc>
        <w:tc>
          <w:tcPr>
            <w:tcW w:w="3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深海资源试采场景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支持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研发深海采矿车、深海自适应钻探平台、深海举升系统、专用试采矿船等高端专用装备，结合多波束深海探测、海底地形智能测绘、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水下机器人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精准作业、生态环境实时监测等技术，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探索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开展天然气水合物、多金属结核、富钴结壳、热液硫化物等战略资源试采作业，实现资源勘探、精准定位、智能试采与生态影响评估一体化的深海资源开发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场景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示范。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highlight w:val="none"/>
                <w:lang w:val="en-US" w:eastAsia="zh-CN"/>
              </w:rPr>
              <w:t>8</w:t>
            </w:r>
          </w:p>
        </w:tc>
        <w:tc>
          <w:tcPr>
            <w:tcW w:w="3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深海生物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与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深层水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开发场景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依托水下观测网、水下机器人、无人船、海洋专用遥感卫星等新型装备，融合运用海洋生物基因测序与精准育种、高通量活性筛选、酶解转化、绿色分离纯化及自动化制剂加工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及深层海水制备技术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，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鼓励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开展南海海洋生物资源本底调查、珍稀濒危物种保护、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海洋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生态修复与栖息地监测、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深层水资源开发等示范场景建设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推动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深层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海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水资源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在水产养殖、食品加工、农业生产、医美等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场景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中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应用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rPr>
          <w:trHeight w:val="1231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highlight w:val="none"/>
                <w:lang w:val="en-US" w:eastAsia="zh-CN"/>
              </w:rPr>
              <w:t>9</w:t>
            </w:r>
          </w:p>
        </w:tc>
        <w:tc>
          <w:tcPr>
            <w:tcW w:w="3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深远海可再生能源</w:t>
            </w:r>
          </w:p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依托漂浮式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海上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风电、海上光伏等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清洁能源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装备，融合海上电解制氢、海水制甲醇、海上储能调控等技术，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探索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在深远海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开展清洁能源发电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、绿氢绿甲醇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生产等示范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场景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建设。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highlight w:val="none"/>
                <w:lang w:val="en-US" w:eastAsia="zh-CN"/>
              </w:rPr>
              <w:t>10</w:t>
            </w:r>
          </w:p>
        </w:tc>
        <w:tc>
          <w:tcPr>
            <w:tcW w:w="30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海洋船舶工业</w:t>
            </w: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船舶智能修造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依托船舶修造场景资源，推动具身智能机器人、智能制造装备、工业互联网、人工智能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、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鸿蒙系统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与船舶修造工艺深度融合，在船舶喷漆、除锈、焊接、探伤检测等高危、高重复性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作业场景中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开展规模化应用，实现作业过程自动化、精准化与安全化，提升船舶修造作业效率与本质安全水平。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rPr>
          <w:trHeight w:val="57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highlight w:val="none"/>
                <w:lang w:val="en-US" w:eastAsia="zh-CN"/>
              </w:rPr>
              <w:t>11</w:t>
            </w:r>
          </w:p>
        </w:tc>
        <w:tc>
          <w:tcPr>
            <w:tcW w:w="30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船舶电动化</w:t>
            </w:r>
          </w:p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实施“锂电+船艇”场景推广应用行动，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依托船用动力、电力推进、能源管理、智能控制与导航等锂电船舶技术，在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港口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稳步开展拖轮电动化运营试点；在近岸海域，推动电动中小型执法巡逻艇应用于海上交通安全监管、巡航巡查、应急搜救等场景，打造一批具有示范带动作用的电动船舶应用示范项目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；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探索渔业辅助船、近岸旅游观光船电动化试点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；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积极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推动小型钓鱼艇、卡丁船、喷射艇、运动快艇、水上娱乐艇等5米以下船艇电动化应用，积极推广适配专用动力及推进系统，完善充电、停泊等配套保障设施，引导休闲船艇绿色低碳化升级。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highlight w:val="none"/>
                <w:lang w:val="en-US" w:eastAsia="zh-CN"/>
              </w:rPr>
              <w:t>12</w:t>
            </w:r>
          </w:p>
        </w:tc>
        <w:tc>
          <w:tcPr>
            <w:tcW w:w="3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  <w:t>海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洋油气</w:t>
            </w: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智慧油气场景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强化具身智能、人工智能、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鸿蒙系统、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海底观测传感器、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海洋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通信及组网等新技术、新产品应用，推动勘探开发、生产运营、钻完井等环节智能化，重点发展断裂智能解释、关键勘探项目智能设计与决策、产量规划智能化、安全作业智能分析、关键设备健康诊断、智能压裂参数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优化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、智慧运维等场景，提升海上油气田平台智能化水平。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rPr>
          <w:trHeight w:val="57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highlight w:val="none"/>
                <w:lang w:val="en-US" w:eastAsia="zh-CN"/>
              </w:rPr>
              <w:t>13</w:t>
            </w:r>
          </w:p>
        </w:tc>
        <w:tc>
          <w:tcPr>
            <w:tcW w:w="3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“低空+油气平台”</w:t>
            </w:r>
          </w:p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依托电动垂直起降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飞行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器、无人机、空中交通管理平台、智能调度系统与AI飞行分析技术，聚焦海上油气平台作业需求，重点发展无人配送、低空巡检、应急救援、空域安全保障等应用场景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highlight w:val="none"/>
                <w:lang w:val="en-US" w:eastAsia="zh-CN"/>
              </w:rPr>
              <w:t>14</w:t>
            </w:r>
          </w:p>
        </w:tc>
        <w:tc>
          <w:tcPr>
            <w:tcW w:w="3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海上CCUS场景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依托碳捕捉、封存与利用（CCUS）核心技术，结合物联网监测、大数据分析、数字孪生等技术手段，推动海上油气领域CCUS全流程智能化、精细化、安全化管控，重点发展二氧化碳智能捕捉提纯、管网输送优化、海上封存监测、碳资产运营管理等场景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rPr>
          <w:trHeight w:val="57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highlight w:val="none"/>
                <w:lang w:val="en-US" w:eastAsia="zh-CN"/>
              </w:rPr>
              <w:t>15</w:t>
            </w:r>
          </w:p>
        </w:tc>
        <w:tc>
          <w:tcPr>
            <w:tcW w:w="3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海洋油气弃置平台综合再利用新场景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依托海洋油气弃置平台进行改造升级，集成应用海洋环境监测、深远海通信、智能运维等新技术，探索将其创新改造成海洋中试平台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、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海洋监测平台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等海洋基础设施，打造集海洋科学试验、海洋环境观测于一体的多功能示范场景，推动弃置平台资源循环利用。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highlight w:val="none"/>
                <w:lang w:val="en-US" w:eastAsia="zh-CN"/>
              </w:rPr>
              <w:t>16</w:t>
            </w:r>
          </w:p>
        </w:tc>
        <w:tc>
          <w:tcPr>
            <w:tcW w:w="30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海洋交通运输</w:t>
            </w: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港口智慧多式联运</w:t>
            </w:r>
          </w:p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依托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人工智能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、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鸿蒙系统、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北斗定位、区块链等技术及智慧物流装备，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结合现代物流网等“六张网”规划建设，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实现港口公铁、水水、铁水等不同运输方式间的无缝衔接与全程可视化管理，提供智能匹配运力资源、优化转运路径、实时监测货物流向与时效等服务，提升多式联运效率，降低物流成本，促进交通运输体系一体化与智能化发展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rPr>
          <w:trHeight w:val="90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highlight w:val="none"/>
                <w:lang w:val="en-US" w:eastAsia="zh-CN"/>
              </w:rPr>
              <w:t>17</w:t>
            </w:r>
          </w:p>
        </w:tc>
        <w:tc>
          <w:tcPr>
            <w:tcW w:w="30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智能航运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依托现代物流网等“六张网”规划建设，探索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推进智能航运综合应用试点区建设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创新运用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智能航行控制系统、北斗/GNSS定位、激光雷达与多源感知融合、自动避障算法、远程操控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等智能化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技术，推动沿海新能源集装箱支线船、水水中转智能集装箱船、纯电动智能拖轮等智能化示范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建设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自主航行、自主靠离泊、无人装卸作业及智能调度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等一批船舶智能化场景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 w:val="22"/>
                <w:highlight w:val="none"/>
                <w:lang w:val="en-US" w:eastAsia="zh-CN"/>
              </w:rPr>
              <w:t>18</w:t>
            </w:r>
          </w:p>
        </w:tc>
        <w:tc>
          <w:tcPr>
            <w:tcW w:w="3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船舶大功率充电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依托大功率专用充电桩、智能储能管理平台、船岸协同系统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等设备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，在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港口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开展电动船舶充电设施建设，打造一批电动船舶充电示范项目，实现船舶充电需求智能匹配、充电过程实时监控、能源调度优化管理，满足电动船舶靠港快速充电需求。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rPr>
          <w:trHeight w:val="57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highlight w:val="none"/>
                <w:lang w:val="en-US" w:eastAsia="zh-CN"/>
              </w:rPr>
              <w:t>19</w:t>
            </w:r>
          </w:p>
        </w:tc>
        <w:tc>
          <w:tcPr>
            <w:tcW w:w="30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default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海岛低空物流场景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围绕海岛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物资运输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需求，推动无人机、电动垂直起降飞行器等装备在海岛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运输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场景中应用，打造高值海产品快运、海岛民生物资配送、跨海医疗应急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物资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投送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等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场景。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  <w:t>20</w:t>
            </w:r>
          </w:p>
        </w:tc>
        <w:tc>
          <w:tcPr>
            <w:tcW w:w="3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海</w:t>
            </w:r>
            <w:r>
              <w:rPr>
                <w:rFonts w:hint="eastAsia" w:ascii="华文仿宋" w:hAnsi="华文仿宋" w:eastAsia="华文仿宋" w:cs="华文仿宋"/>
                <w:color w:val="auto"/>
                <w:sz w:val="22"/>
                <w:highlight w:val="none"/>
              </w:rPr>
              <w:t>洋渔业</w:t>
            </w: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远洋智慧捕捞场景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推动智能航行控制系统、渔船监控与智能调控、高精度定位导航、鱼群识别探测与精准渔情预报、自主捕捞路径规划与避障算法、自动化分拣加工包装、全流程溯源与区块链等技术在远洋渔船和捕捞作业中的应用，推动远洋渔业实现智能航行与控制、精准识别与智能捕捞、无人化分拣加工，打造安全、高效、可持续的智慧远洋捕捞体系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rPr>
          <w:trHeight w:val="57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  <w:t>21</w:t>
            </w:r>
          </w:p>
        </w:tc>
        <w:tc>
          <w:tcPr>
            <w:tcW w:w="3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深远海智慧养殖场景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推动海洋牧场积极应用抗风浪养殖装备、高强度防附着网衣以及无人投料船、水下清洗机器人、智能鱼探仪、无人机、自动起捕设备等先进装备，开展高经济价值水产的规模化养殖，实现投放、投喂、监测、收捕等环节智能化作业和管理，打造智慧养殖示范标杆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  <w:t>22</w:t>
            </w:r>
          </w:p>
        </w:tc>
        <w:tc>
          <w:tcPr>
            <w:tcW w:w="3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  <w:t>海洋文旅</w:t>
            </w: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水上运动场景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依托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深圳丰富的滨海文旅资源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，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积极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推广应用电动冲浪板、电动水翼板、电动趴板、电动帆船等新型水上消费装备，培育帆船、赛艇等水上体育休闲业态与品牌赛事，推动滨海旅游从传统观光娱乐向“高端赛事+大众体验”双轨模式升级，打造安全、时尚、低碳的深圳滨海水上运动消费新场景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rPr>
          <w:trHeight w:val="697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  <w:t>23</w:t>
            </w:r>
          </w:p>
        </w:tc>
        <w:tc>
          <w:tcPr>
            <w:tcW w:w="3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“游艇+”场景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鼓励游艇会创新游艇娱乐消费场景，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培育发展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“游艇+海上观光”“游艇+海上研学”“游艇+婚礼”“游艇+海上音乐会”等多元消费业态，打造具有深圳特色的高端游艇文旅消费IP，持续提升游艇消费场景活力与品牌影响力。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  <w:t>24</w:t>
            </w:r>
          </w:p>
        </w:tc>
        <w:tc>
          <w:tcPr>
            <w:tcW w:w="3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邮轮消费场景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支持蛇口邮轮母港优化邮轮航线布局与消费服务体系，积极挖掘深圳海洋文化与城市文化，开发“邮轮+剧场+艺术展+滨海商圈”消费新场景，打造高端邮轮消费集聚区；持续开通邮轮主题新航线，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提升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邮轮母港发展能级。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rPr>
          <w:trHeight w:val="1072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  <w:t>25</w:t>
            </w:r>
          </w:p>
        </w:tc>
        <w:tc>
          <w:tcPr>
            <w:tcW w:w="3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“低空+海洋旅游”</w:t>
            </w:r>
          </w:p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依托深圳湾、大鹏湾等滨海旅游资源，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充分运用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无人机、电动垂直起降飞行器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、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直升机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等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装备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，发展直升机主题观光、eVTOL滨海低空游览、无人机海上灯光秀、海岛跳伞体验等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场景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  <w:t>26</w:t>
            </w:r>
          </w:p>
        </w:tc>
        <w:tc>
          <w:tcPr>
            <w:tcW w:w="3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“海洋研学+”场景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支持蛇口邮轮母港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联动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“向阳红10号”科考船、“沈括”号科考船及深圳湾游艇会、蛇口渔港、西部集装箱码头等海洋资源，做大做优深圳市海洋研学基地，持续拓展海洋科考、海洋特色展览、船舶模拟驾驶体验、游艇体验、海钓体验、海上观测、海上党建、港口文化研学等研学场景，打造集知识科普、实践体验、爱国主义教育于一体的海洋研学产品体系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rPr>
          <w:trHeight w:val="57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  <w:t>27</w:t>
            </w:r>
          </w:p>
        </w:tc>
        <w:tc>
          <w:tcPr>
            <w:tcW w:w="3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规资海洋现代治理</w:t>
            </w: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自然资源数智化监测和预警场景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强化海洋电子信息技术应用，依托长航程无人机、无人巡检船、海洋智能观测站、遥感卫星、水下声学通信设备等新型海洋监测设备，在福田红树林自然保护区、深圳湾及东部大鹏半岛近岸海域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（大鹏湾海域、大亚湾海域）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开展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海洋生物智能观测、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红树林智慧管理、碳汇智能监测与核算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以及珊瑚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智能监测，实现海洋环境智能感知、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数据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高速传输、智能分析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研判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与精准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监管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执法。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  <w:t>28</w:t>
            </w:r>
          </w:p>
        </w:tc>
        <w:tc>
          <w:tcPr>
            <w:tcW w:w="3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海洋智慧执法场景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在深圳管辖海域部署雷达、船舶自动识别系统（AIS）、远程光电、无人机等物联感知设备，利用AI视频结构化与大数据分析技术，实现海上船舶全类型自动识别、轨迹追踪、异常行为预警，以及“三无”船舶、非法捕捞、非法倾废等违法行为智能检测与识别，提升海域监管智能化和精准化水平。同时，对渔港进行数智化升级，打造智慧渔港综合管理平台，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打造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渔船进出港智能闸口、渔船身份自动识别、防台应急智能调度等场景，实现渔港运行“一屏统览”。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rPr>
          <w:trHeight w:val="57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  <w:t>29</w:t>
            </w:r>
          </w:p>
        </w:tc>
        <w:tc>
          <w:tcPr>
            <w:tcW w:w="3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海洋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智慧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防灾减灾</w:t>
            </w:r>
          </w:p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融合遥感监测、物联网等智能感知以及人工智能、大数据等分析识别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技术</w:t>
            </w: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，针对深圳海域赤潮、风暴潮等灾害进行智能监测与风险预警，及时识别海洋灾害异常变化、生成预警信息并联动应急响应机制，提升海洋灾害的监测预警、指挥决策和应急处置能力，降低人员与财产损失。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  <w:t>30</w:t>
            </w:r>
          </w:p>
        </w:tc>
        <w:tc>
          <w:tcPr>
            <w:tcW w:w="3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highlight w:val="none"/>
              </w:rPr>
            </w:pP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政务数字化场景</w:t>
            </w:r>
          </w:p>
        </w:tc>
        <w:tc>
          <w:tcPr>
            <w:tcW w:w="3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firstLine="0" w:firstLineChars="0"/>
              <w:jc w:val="left"/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highlight w:val="none"/>
              </w:rPr>
              <w:t>依托政务数据中台、智能流程引擎和多模态大模型等基础能力，推进海洋领域垂直业务知识库建设，汇聚国家、省、市涉海政策文件、规划成果、研究报告等资源，开发智能问答、文稿自动生成、政策精准检索等数字化场景。同时，打造用海管理数智化场景，重点推进AI辅助用海空间核查，提升项目用海审查效率，推进用海全过程业务高效办理，提升政府治理效率与群众办事体验。</w:t>
            </w:r>
          </w:p>
        </w:tc>
      </w:tr>
    </w:tbl>
    <w:p>
      <w:pPr>
        <w:ind w:firstLine="0" w:firstLineChars="0"/>
      </w:pPr>
    </w:p>
    <w:p>
      <w:pPr>
        <w:spacing w:line="560" w:lineRule="exact"/>
        <w:ind w:firstLine="640" w:firstLineChars="200"/>
        <w:rPr>
          <w:rFonts w:ascii="Calibri" w:hAnsi="Calibri" w:eastAsia="仿宋_GB2312" w:cs="宋体"/>
          <w:sz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8C6642"/>
    <w:rsid w:val="00006F33"/>
    <w:rsid w:val="006C32A6"/>
    <w:rsid w:val="009518CE"/>
    <w:rsid w:val="00995341"/>
    <w:rsid w:val="02433F32"/>
    <w:rsid w:val="02457EDE"/>
    <w:rsid w:val="0FB139F2"/>
    <w:rsid w:val="11636B75"/>
    <w:rsid w:val="127534D5"/>
    <w:rsid w:val="12A67527"/>
    <w:rsid w:val="14F57F47"/>
    <w:rsid w:val="156A38C2"/>
    <w:rsid w:val="19FD7705"/>
    <w:rsid w:val="1DA11B98"/>
    <w:rsid w:val="223F5CAD"/>
    <w:rsid w:val="255031BB"/>
    <w:rsid w:val="2CFE6F5D"/>
    <w:rsid w:val="33426004"/>
    <w:rsid w:val="392635CF"/>
    <w:rsid w:val="39AC6D2C"/>
    <w:rsid w:val="3EBB1669"/>
    <w:rsid w:val="42E20C71"/>
    <w:rsid w:val="46BD331C"/>
    <w:rsid w:val="47F8387E"/>
    <w:rsid w:val="4C8C6642"/>
    <w:rsid w:val="4E904204"/>
    <w:rsid w:val="5BD57CB7"/>
    <w:rsid w:val="5DA5502E"/>
    <w:rsid w:val="5EAC7F2D"/>
    <w:rsid w:val="5F9F7268"/>
    <w:rsid w:val="6059785D"/>
    <w:rsid w:val="61675DFB"/>
    <w:rsid w:val="628A4D10"/>
    <w:rsid w:val="67DF7F7C"/>
    <w:rsid w:val="6BE51391"/>
    <w:rsid w:val="6D64250D"/>
    <w:rsid w:val="71E0658F"/>
    <w:rsid w:val="736DBD45"/>
    <w:rsid w:val="747D818C"/>
    <w:rsid w:val="767773F3"/>
    <w:rsid w:val="78FF7271"/>
    <w:rsid w:val="7BFF9432"/>
    <w:rsid w:val="7DFFC70C"/>
    <w:rsid w:val="7F77B173"/>
    <w:rsid w:val="7FEA0635"/>
    <w:rsid w:val="7FF72DCB"/>
    <w:rsid w:val="A7FF5D74"/>
    <w:rsid w:val="BAFD7BB7"/>
    <w:rsid w:val="CAF47C7E"/>
    <w:rsid w:val="DEEDE46E"/>
    <w:rsid w:val="DFBD767A"/>
    <w:rsid w:val="DFE760E5"/>
    <w:rsid w:val="E7ED41B0"/>
    <w:rsid w:val="EFDF9176"/>
    <w:rsid w:val="F1E9C010"/>
    <w:rsid w:val="F9B74FB7"/>
    <w:rsid w:val="FEFF3E39"/>
    <w:rsid w:val="FFEDE4DF"/>
    <w:rsid w:val="FFFBA532"/>
    <w:rsid w:val="FFFCE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  <w:style w:type="paragraph" w:styleId="5">
    <w:name w:val="Balloon Text"/>
    <w:basedOn w:val="1"/>
    <w:link w:val="1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</w:pPr>
    <w:rPr>
      <w:rFonts w:ascii="Calibri" w:hAnsi="Calibri"/>
      <w:sz w:val="24"/>
    </w:rPr>
  </w:style>
  <w:style w:type="character" w:customStyle="1" w:styleId="11">
    <w:name w:val="批注框文本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759</Words>
  <Characters>765</Characters>
  <Lines>7</Lines>
  <Paragraphs>2</Paragraphs>
  <TotalTime>33</TotalTime>
  <ScaleCrop>false</ScaleCrop>
  <LinksUpToDate>false</LinksUpToDate>
  <CharactersWithSpaces>765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2026-07-22T11:13:00Z</dcterms:created>
  <dc:creator>Bryson</dc:creator>
  <cp:lastModifiedBy>qilin</cp:lastModifiedBy>
  <cp:lastPrinted>2026-07-25T03:17:00Z</cp:lastPrinted>
  <dcterms:modified xsi:type="dcterms:W3CDTF">2026-08-31T11:07:09Z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B68BEAD097B9936C263B8E6A3683D9FC</vt:lpwstr>
  </property>
  <property fmtid="{D5CDD505-2E9C-101B-9397-08002B2CF9AE}" pid="4" name="KSOTemplateDocerSaveRecord">
    <vt:lpwstr>eyJoZGlkIjoiMzEwNTM5NzYwMDRjMzkwZTVkZjY2ODkwMGIxNGU0OTUiLCJ1c2VySWQiOiIzMDYwMzAxMjIifQ==</vt:lpwstr>
  </property>
</Properties>
</file>